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B3183" w14:textId="77777777" w:rsidR="003A7F2F" w:rsidRDefault="003A7F2F" w:rsidP="00894525">
      <w:pPr>
        <w:rPr>
          <w:rFonts w:ascii="Times New Roman" w:hAnsi="Times New Roman" w:cs="Times New Roman"/>
          <w:b/>
          <w:bCs/>
          <w:color w:val="074F6A" w:themeColor="accent4" w:themeShade="80"/>
          <w:sz w:val="28"/>
          <w:szCs w:val="28"/>
          <w:u w:val="single"/>
          <w:lang w:val="es-ES"/>
        </w:rPr>
      </w:pPr>
      <w:bookmarkStart w:id="0" w:name="_GoBack"/>
      <w:bookmarkEnd w:id="0"/>
    </w:p>
    <w:p w14:paraId="60F6596B" w14:textId="6A61190F" w:rsidR="00C6358A" w:rsidRPr="00894525" w:rsidRDefault="00894525" w:rsidP="00894525">
      <w:pPr>
        <w:rPr>
          <w:rFonts w:ascii="Times New Roman" w:hAnsi="Times New Roman" w:cs="Times New Roman"/>
          <w:b/>
          <w:bCs/>
          <w:color w:val="074F6A" w:themeColor="accent4" w:themeShade="80"/>
          <w:sz w:val="28"/>
          <w:szCs w:val="28"/>
          <w:u w:val="single"/>
          <w:lang w:val="es-ES"/>
        </w:rPr>
      </w:pPr>
      <w:r w:rsidRPr="00894525">
        <w:rPr>
          <w:rFonts w:ascii="Times New Roman" w:hAnsi="Times New Roman" w:cs="Times New Roman"/>
          <w:b/>
          <w:bCs/>
          <w:color w:val="074F6A" w:themeColor="accent4" w:themeShade="80"/>
          <w:sz w:val="28"/>
          <w:szCs w:val="28"/>
          <w:u w:val="single"/>
          <w:lang w:val="es-ES"/>
        </w:rPr>
        <w:t xml:space="preserve"> INTERNACIONAL</w:t>
      </w:r>
      <w:r w:rsidR="00822E3D">
        <w:rPr>
          <w:rFonts w:ascii="Times New Roman" w:hAnsi="Times New Roman" w:cs="Times New Roman"/>
          <w:b/>
          <w:bCs/>
          <w:color w:val="074F6A" w:themeColor="accent4" w:themeShade="80"/>
          <w:sz w:val="28"/>
          <w:szCs w:val="28"/>
          <w:u w:val="single"/>
          <w:lang w:val="es-ES"/>
        </w:rPr>
        <w:t xml:space="preserve"> </w:t>
      </w:r>
    </w:p>
    <w:p w14:paraId="51BB1CD4" w14:textId="6689AA3F" w:rsidR="00BF66B1" w:rsidRPr="00C45796" w:rsidRDefault="00E81655" w:rsidP="00C45796">
      <w:pPr>
        <w:jc w:val="both"/>
        <w:rPr>
          <w:rFonts w:ascii="Arial" w:hAnsi="Arial" w:cs="Arial"/>
          <w:b/>
          <w:bCs/>
          <w:sz w:val="24"/>
          <w:szCs w:val="24"/>
        </w:rPr>
      </w:pPr>
      <w:r w:rsidRPr="00E81655">
        <w:rPr>
          <w:rFonts w:ascii="Arial" w:hAnsi="Arial" w:cs="Arial"/>
          <w:b/>
          <w:bCs/>
          <w:sz w:val="24"/>
          <w:szCs w:val="24"/>
        </w:rPr>
        <w:t>La Argentina de Milei multiplica por 12 el superávit comercial y logra un récord histórico de exportaciones.</w:t>
      </w:r>
      <w:r w:rsidR="00BF66B1" w:rsidRPr="00C45796">
        <w:rPr>
          <w:rFonts w:ascii="Arial" w:hAnsi="Arial" w:cs="Arial"/>
          <w:noProof/>
          <w:sz w:val="24"/>
          <w:szCs w:val="24"/>
          <w:lang w:val="es-ES" w:eastAsia="es-ES"/>
        </w:rPr>
        <w:drawing>
          <wp:anchor distT="0" distB="0" distL="114300" distR="114300" simplePos="0" relativeHeight="251653120" behindDoc="1" locked="0" layoutInCell="1" allowOverlap="1" wp14:anchorId="66FAD93C" wp14:editId="798BDC84">
            <wp:simplePos x="0" y="0"/>
            <wp:positionH relativeFrom="margin">
              <wp:align>left</wp:align>
            </wp:positionH>
            <wp:positionV relativeFrom="paragraph">
              <wp:posOffset>1905</wp:posOffset>
            </wp:positionV>
            <wp:extent cx="1143000" cy="782955"/>
            <wp:effectExtent l="0" t="0" r="0" b="0"/>
            <wp:wrapTight wrapText="bothSides">
              <wp:wrapPolygon edited="0">
                <wp:start x="0" y="0"/>
                <wp:lineTo x="0" y="21022"/>
                <wp:lineTo x="21240" y="21022"/>
                <wp:lineTo x="21240" y="0"/>
                <wp:lineTo x="0" y="0"/>
              </wp:wrapPolygon>
            </wp:wrapTight>
            <wp:docPr id="1822143774" name="Imagen 1" descr="Imagen que contiene colori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143774" name="Imagen 1" descr="Imagen que contiene colorido&#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782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3A7BBC" w14:textId="0A7738FF" w:rsidR="00E81655" w:rsidRPr="00C45796" w:rsidRDefault="00E81655" w:rsidP="00032E55">
      <w:pPr>
        <w:jc w:val="both"/>
        <w:rPr>
          <w:rFonts w:ascii="Arial" w:hAnsi="Arial" w:cs="Arial"/>
          <w:sz w:val="24"/>
          <w:szCs w:val="24"/>
        </w:rPr>
      </w:pPr>
      <w:r w:rsidRPr="00E81655">
        <w:rPr>
          <w:rFonts w:ascii="Arial" w:hAnsi="Arial" w:cs="Arial"/>
          <w:sz w:val="24"/>
          <w:szCs w:val="24"/>
        </w:rPr>
        <w:t>Las exportaciones crecieron un 33,6 % interanual y alcanzaron un récord de 8.914 millones de dólares, impulsadas por energía, agro y manufacturas industriales. Las importaciones, en cambio, cayeron un 4 %, lo que ayudó a consolidar 29 meses consecutivos de superávit comercial. El ministro de Economía destacó los récords alcanzados en exportaciones. Analistas prevén que Argentina podría cerrar 2026 con exportaciones récord gracias al agro, Vaca Muerta, la minería y el litio, consolidando un cambio estructural en su economía.</w:t>
      </w:r>
    </w:p>
    <w:p w14:paraId="124DC3E4" w14:textId="7BB4521D" w:rsidR="00BF66B1" w:rsidRDefault="00BF66B1" w:rsidP="00402B2B">
      <w:pPr>
        <w:spacing w:after="0" w:line="240" w:lineRule="auto"/>
        <w:jc w:val="both"/>
        <w:rPr>
          <w:rFonts w:ascii="Arial" w:hAnsi="Arial" w:cs="Arial"/>
        </w:rPr>
      </w:pPr>
    </w:p>
    <w:p w14:paraId="767F466F" w14:textId="42817E08" w:rsidR="00E81655" w:rsidRPr="00E81655" w:rsidRDefault="00E81655" w:rsidP="00E81655">
      <w:pPr>
        <w:rPr>
          <w:rFonts w:ascii="Times New Roman" w:hAnsi="Times New Roman" w:cs="Times New Roman"/>
          <w:b/>
          <w:bCs/>
          <w:color w:val="074F6A" w:themeColor="accent4" w:themeShade="80"/>
          <w:sz w:val="28"/>
          <w:szCs w:val="28"/>
          <w:u w:val="single"/>
          <w:lang w:val="es-ES"/>
        </w:rPr>
      </w:pPr>
      <w:r>
        <w:rPr>
          <w:rFonts w:ascii="Times New Roman" w:hAnsi="Times New Roman" w:cs="Times New Roman"/>
          <w:b/>
          <w:bCs/>
          <w:color w:val="074F6A" w:themeColor="accent4" w:themeShade="80"/>
          <w:sz w:val="28"/>
          <w:szCs w:val="28"/>
          <w:u w:val="single"/>
          <w:lang w:val="es-ES"/>
        </w:rPr>
        <w:t>NACIONAL</w:t>
      </w:r>
    </w:p>
    <w:p w14:paraId="0BBE05AA" w14:textId="0EB3BB1F" w:rsidR="00E81655" w:rsidRPr="00E81655" w:rsidRDefault="00E81655" w:rsidP="00E81655">
      <w:pPr>
        <w:shd w:val="clear" w:color="auto" w:fill="FFFFFF"/>
        <w:spacing w:before="220" w:after="220" w:line="288" w:lineRule="auto"/>
        <w:ind w:left="720"/>
        <w:jc w:val="both"/>
        <w:outlineLvl w:val="0"/>
        <w:rPr>
          <w:rFonts w:ascii="Arial" w:eastAsiaTheme="majorEastAsia" w:hAnsi="Arial" w:cs="Arial"/>
          <w:b/>
          <w:bCs/>
          <w:sz w:val="24"/>
          <w:szCs w:val="24"/>
        </w:rPr>
      </w:pPr>
      <w:r w:rsidRPr="00E81655">
        <w:rPr>
          <w:rFonts w:ascii="Arial" w:eastAsiaTheme="majorEastAsia" w:hAnsi="Arial" w:cs="Arial"/>
          <w:b/>
          <w:bCs/>
          <w:sz w:val="24"/>
          <w:szCs w:val="24"/>
        </w:rPr>
        <w:t>Tarifas: la canasta de servicios públicos se disparó 17% en mayo y se multiplicó por nueve desde 2023.</w:t>
      </w:r>
      <w:r w:rsidRPr="00E81655">
        <w:rPr>
          <w:rFonts w:asciiTheme="majorHAnsi" w:eastAsia="Calibri" w:hAnsiTheme="majorHAnsi" w:cstheme="majorBidi"/>
          <w:noProof/>
          <w:color w:val="0F4761" w:themeColor="accent1" w:themeShade="BF"/>
          <w:sz w:val="28"/>
          <w:szCs w:val="28"/>
          <w:lang w:val="es-ES" w:eastAsia="es-ES"/>
        </w:rPr>
        <w:drawing>
          <wp:anchor distT="0" distB="0" distL="114300" distR="114300" simplePos="0" relativeHeight="251663360" behindDoc="1" locked="0" layoutInCell="1" allowOverlap="1" wp14:anchorId="621FF777" wp14:editId="7F656C9D">
            <wp:simplePos x="0" y="0"/>
            <wp:positionH relativeFrom="margin">
              <wp:align>left</wp:align>
            </wp:positionH>
            <wp:positionV relativeFrom="paragraph">
              <wp:posOffset>97155</wp:posOffset>
            </wp:positionV>
            <wp:extent cx="1295400" cy="814070"/>
            <wp:effectExtent l="0" t="0" r="0" b="5080"/>
            <wp:wrapTight wrapText="bothSides">
              <wp:wrapPolygon edited="0">
                <wp:start x="0" y="0"/>
                <wp:lineTo x="0" y="21229"/>
                <wp:lineTo x="21282" y="21229"/>
                <wp:lineTo x="21282" y="0"/>
                <wp:lineTo x="0" y="0"/>
              </wp:wrapPolygon>
            </wp:wrapTight>
            <wp:docPr id="1263231717" name="Imagen 1" descr="Un grupo de personas alrededor de una bander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31717" name="Imagen 1" descr="Un grupo de personas alrededor de una bandera&#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1295400" cy="814070"/>
                    </a:xfrm>
                    <a:prstGeom prst="rect">
                      <a:avLst/>
                    </a:prstGeom>
                  </pic:spPr>
                </pic:pic>
              </a:graphicData>
            </a:graphic>
            <wp14:sizeRelH relativeFrom="margin">
              <wp14:pctWidth>0</wp14:pctWidth>
            </wp14:sizeRelH>
            <wp14:sizeRelV relativeFrom="margin">
              <wp14:pctHeight>0</wp14:pctHeight>
            </wp14:sizeRelV>
          </wp:anchor>
        </w:drawing>
      </w:r>
    </w:p>
    <w:p w14:paraId="13EC0F9F" w14:textId="2F1A0A8E" w:rsidR="00E81655" w:rsidRPr="00E81655" w:rsidRDefault="00E81655" w:rsidP="00E81655">
      <w:pPr>
        <w:spacing w:after="0" w:line="240" w:lineRule="auto"/>
        <w:jc w:val="both"/>
        <w:rPr>
          <w:rFonts w:ascii="Arial" w:hAnsi="Arial" w:cs="Arial"/>
          <w:sz w:val="24"/>
          <w:szCs w:val="24"/>
        </w:rPr>
      </w:pPr>
      <w:r w:rsidRPr="00E81655">
        <w:rPr>
          <w:rFonts w:ascii="Arial" w:hAnsi="Arial" w:cs="Arial"/>
          <w:sz w:val="24"/>
          <w:szCs w:val="24"/>
        </w:rPr>
        <w:t>La canasta de servicios públicos registró una suba del 17% en mayo, incluyendo electricidad, gas, agua y transporte. Desde 2023, estos costos se multiplicaron por nueve debido a las actualizaciones tarifarias. El incremento impacta especialmente en hogares de ingresos medios y bajos. Además, comercios y pequeñas empresas también enfrentan mayores costos operativos. La situación genera preocupación social por posibles nuevos aumentos.</w:t>
      </w:r>
    </w:p>
    <w:p w14:paraId="0A70F004" w14:textId="77777777" w:rsidR="00E81655" w:rsidRPr="007E78F3" w:rsidRDefault="00E81655" w:rsidP="00402B2B">
      <w:pPr>
        <w:spacing w:after="0" w:line="240" w:lineRule="auto"/>
        <w:jc w:val="both"/>
        <w:rPr>
          <w:rFonts w:ascii="Arial" w:hAnsi="Arial" w:cs="Arial"/>
        </w:rPr>
      </w:pPr>
    </w:p>
    <w:p w14:paraId="6340A3F2" w14:textId="77777777" w:rsidR="00894525" w:rsidRDefault="00894525">
      <w:pPr>
        <w:rPr>
          <w:lang w:val="es-ES"/>
        </w:rPr>
      </w:pPr>
    </w:p>
    <w:p w14:paraId="77276D42" w14:textId="3092ED53" w:rsidR="00894525" w:rsidRPr="00894525" w:rsidRDefault="00E81655" w:rsidP="00894525">
      <w:pPr>
        <w:rPr>
          <w:rFonts w:ascii="Times New Roman" w:hAnsi="Times New Roman" w:cs="Times New Roman"/>
          <w:b/>
          <w:bCs/>
          <w:color w:val="074F6A" w:themeColor="accent4" w:themeShade="80"/>
          <w:sz w:val="28"/>
          <w:szCs w:val="28"/>
          <w:u w:val="single"/>
          <w:lang w:val="es-ES"/>
        </w:rPr>
      </w:pPr>
      <w:r>
        <w:rPr>
          <w:rFonts w:ascii="Times New Roman" w:hAnsi="Times New Roman" w:cs="Times New Roman"/>
          <w:b/>
          <w:bCs/>
          <w:color w:val="074F6A" w:themeColor="accent4" w:themeShade="80"/>
          <w:sz w:val="28"/>
          <w:szCs w:val="28"/>
          <w:u w:val="single"/>
          <w:lang w:val="es-ES"/>
        </w:rPr>
        <w:t>PROVINCIAL</w:t>
      </w:r>
    </w:p>
    <w:p w14:paraId="647A4846" w14:textId="512218D0" w:rsidR="00C45796" w:rsidRPr="00C45796" w:rsidRDefault="00E81655" w:rsidP="00C45796">
      <w:pPr>
        <w:pStyle w:val="Prrafodelista"/>
        <w:ind w:left="1437"/>
        <w:rPr>
          <w:rFonts w:ascii="Arial" w:hAnsi="Arial" w:cs="Arial"/>
          <w:b/>
          <w:bCs/>
          <w:sz w:val="24"/>
          <w:szCs w:val="24"/>
        </w:rPr>
      </w:pPr>
      <w:r w:rsidRPr="00E81655">
        <w:rPr>
          <w:rFonts w:ascii="Arial" w:hAnsi="Arial" w:cs="Arial"/>
          <w:b/>
          <w:bCs/>
          <w:sz w:val="24"/>
          <w:szCs w:val="24"/>
        </w:rPr>
        <w:t xml:space="preserve">La producción de peras, manzanas y sidras presenta un panorama desolador para el sur mendocino y el Valle de </w:t>
      </w:r>
      <w:proofErr w:type="spellStart"/>
      <w:r w:rsidRPr="00E81655">
        <w:rPr>
          <w:rFonts w:ascii="Arial" w:hAnsi="Arial" w:cs="Arial"/>
          <w:b/>
          <w:bCs/>
          <w:sz w:val="24"/>
          <w:szCs w:val="24"/>
        </w:rPr>
        <w:t>Uco</w:t>
      </w:r>
      <w:proofErr w:type="spellEnd"/>
      <w:r w:rsidRPr="00E81655">
        <w:rPr>
          <w:rFonts w:ascii="Arial" w:hAnsi="Arial" w:cs="Arial"/>
          <w:b/>
          <w:bCs/>
          <w:sz w:val="24"/>
          <w:szCs w:val="24"/>
        </w:rPr>
        <w:t>.</w:t>
      </w:r>
      <w:r w:rsidR="00BF66B1" w:rsidRPr="00C45796">
        <w:rPr>
          <w:rFonts w:ascii="Arial" w:eastAsia="Calibri" w:hAnsi="Arial" w:cs="Arial"/>
          <w:noProof/>
          <w:sz w:val="24"/>
          <w:szCs w:val="24"/>
          <w:lang w:val="es-ES" w:eastAsia="es-ES"/>
        </w:rPr>
        <w:drawing>
          <wp:anchor distT="0" distB="0" distL="114300" distR="114300" simplePos="0" relativeHeight="251656192" behindDoc="1" locked="0" layoutInCell="1" allowOverlap="1" wp14:anchorId="43EA5F40" wp14:editId="1B0EF20B">
            <wp:simplePos x="0" y="0"/>
            <wp:positionH relativeFrom="margin">
              <wp:align>left</wp:align>
            </wp:positionH>
            <wp:positionV relativeFrom="paragraph">
              <wp:posOffset>74930</wp:posOffset>
            </wp:positionV>
            <wp:extent cx="1155700" cy="825500"/>
            <wp:effectExtent l="0" t="0" r="6350" b="0"/>
            <wp:wrapTight wrapText="bothSides">
              <wp:wrapPolygon edited="0">
                <wp:start x="0" y="0"/>
                <wp:lineTo x="0" y="20935"/>
                <wp:lineTo x="21363" y="20935"/>
                <wp:lineTo x="21363" y="0"/>
                <wp:lineTo x="0" y="0"/>
              </wp:wrapPolygon>
            </wp:wrapTight>
            <wp:docPr id="1335195029" name="Imagen 1" descr="Vista de una montañ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195029" name="Imagen 1" descr="Vista de una montaña&#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5700" cy="825500"/>
                    </a:xfrm>
                    <a:prstGeom prst="rect">
                      <a:avLst/>
                    </a:prstGeom>
                  </pic:spPr>
                </pic:pic>
              </a:graphicData>
            </a:graphic>
            <wp14:sizeRelH relativeFrom="margin">
              <wp14:pctWidth>0</wp14:pctWidth>
            </wp14:sizeRelH>
          </wp:anchor>
        </w:drawing>
      </w:r>
    </w:p>
    <w:p w14:paraId="402E76EE" w14:textId="1AD25047" w:rsidR="00C45796" w:rsidRPr="003A7F2F" w:rsidRDefault="00E81655" w:rsidP="003A7F2F">
      <w:pPr>
        <w:spacing w:before="240" w:after="240" w:line="276" w:lineRule="auto"/>
        <w:jc w:val="both"/>
        <w:rPr>
          <w:rFonts w:ascii="Arial" w:eastAsia="Arial" w:hAnsi="Arial" w:cs="Arial"/>
          <w:kern w:val="0"/>
          <w:lang w:val="es-419" w:eastAsia="es-AR"/>
          <w14:ligatures w14:val="none"/>
        </w:rPr>
      </w:pPr>
      <w:bookmarkStart w:id="1" w:name="_Hlk230814618"/>
      <w:r w:rsidRPr="00D146A1">
        <w:rPr>
          <w:rFonts w:ascii="Arial" w:eastAsia="Arial" w:hAnsi="Arial" w:cs="Arial"/>
          <w:kern w:val="0"/>
          <w:lang w:val="es-419" w:eastAsia="es-AR"/>
          <w14:ligatures w14:val="none"/>
        </w:rPr>
        <w:t xml:space="preserve">La producción de peras, manzanas y sidras atraviesa una situación crítica en el sur mendocino y el Valle de </w:t>
      </w:r>
      <w:proofErr w:type="spellStart"/>
      <w:r w:rsidRPr="00D146A1">
        <w:rPr>
          <w:rFonts w:ascii="Arial" w:eastAsia="Arial" w:hAnsi="Arial" w:cs="Arial"/>
          <w:kern w:val="0"/>
          <w:lang w:val="es-419" w:eastAsia="es-AR"/>
          <w14:ligatures w14:val="none"/>
        </w:rPr>
        <w:t>Uco</w:t>
      </w:r>
      <w:proofErr w:type="spellEnd"/>
      <w:r w:rsidRPr="00D146A1">
        <w:rPr>
          <w:rFonts w:ascii="Arial" w:eastAsia="Arial" w:hAnsi="Arial" w:cs="Arial"/>
          <w:kern w:val="0"/>
          <w:lang w:val="es-419" w:eastAsia="es-AR"/>
          <w14:ligatures w14:val="none"/>
        </w:rPr>
        <w:t xml:space="preserve">, reflejando las dificultades que enfrenta gran parte de la economía regional. La caída de la rentabilidad, el aumento de costos productivos y la disminución de la demanda han generado un escenario complejo para productores y elaboradores. Muchas fincas presentan abandono o menor nivel de </w:t>
      </w:r>
      <w:r w:rsidRPr="00D146A1">
        <w:rPr>
          <w:rFonts w:ascii="Arial" w:eastAsia="Arial" w:hAnsi="Arial" w:cs="Arial"/>
          <w:kern w:val="0"/>
          <w:lang w:val="es-419" w:eastAsia="es-AR"/>
          <w14:ligatures w14:val="none"/>
        </w:rPr>
        <w:lastRenderedPageBreak/>
        <w:t xml:space="preserve">producción, afectando el empleo y el movimiento económico local. Esta realidad evidencia la necesidad de fortalecer políticas de apoyo al sector agroindustrial y promover estrategias que permitan recuperar competitividad y sostenibilidad en las economías regionales. </w:t>
      </w:r>
      <w:bookmarkEnd w:id="1"/>
    </w:p>
    <w:p w14:paraId="6014CCFB" w14:textId="77777777" w:rsidR="00C45796" w:rsidRDefault="00C45796" w:rsidP="00894525">
      <w:pPr>
        <w:spacing w:after="0" w:line="240" w:lineRule="auto"/>
        <w:rPr>
          <w:rFonts w:ascii="Arial" w:hAnsi="Arial" w:cs="Arial"/>
          <w:sz w:val="24"/>
          <w:szCs w:val="24"/>
        </w:rPr>
      </w:pPr>
    </w:p>
    <w:p w14:paraId="4729D551" w14:textId="7A105834" w:rsidR="00894525" w:rsidRPr="00894525" w:rsidRDefault="00894525" w:rsidP="00894525">
      <w:pPr>
        <w:spacing w:after="0" w:line="240" w:lineRule="auto"/>
        <w:rPr>
          <w:rFonts w:ascii="Times New Roman" w:eastAsia="Calibri" w:hAnsi="Times New Roman" w:cs="Times New Roman"/>
          <w:b/>
          <w:bCs/>
          <w:color w:val="074F6A" w:themeColor="accent4" w:themeShade="80"/>
          <w:sz w:val="28"/>
          <w:szCs w:val="28"/>
          <w:u w:val="single"/>
          <w:lang w:val="es-ES"/>
        </w:rPr>
      </w:pPr>
      <w:r>
        <w:rPr>
          <w:rFonts w:ascii="Times New Roman" w:eastAsia="Calibri" w:hAnsi="Times New Roman" w:cs="Times New Roman"/>
          <w:b/>
          <w:bCs/>
          <w:color w:val="074F6A" w:themeColor="accent4" w:themeShade="80"/>
          <w:sz w:val="28"/>
          <w:szCs w:val="28"/>
          <w:u w:val="single"/>
          <w:lang w:val="es-ES"/>
        </w:rPr>
        <w:t>LOCALES</w:t>
      </w:r>
    </w:p>
    <w:p w14:paraId="51552953" w14:textId="77777777" w:rsidR="00C45796" w:rsidRDefault="00822E3D" w:rsidP="00C45796">
      <w:pPr>
        <w:spacing w:after="0" w:line="240" w:lineRule="auto"/>
        <w:jc w:val="both"/>
        <w:rPr>
          <w:rFonts w:ascii="Arial" w:hAnsi="Arial" w:cs="Arial"/>
          <w:b/>
          <w:bCs/>
          <w:sz w:val="24"/>
          <w:szCs w:val="24"/>
        </w:rPr>
      </w:pPr>
      <w:r w:rsidRPr="00822E3D">
        <w:rPr>
          <w:rFonts w:ascii="Arial" w:eastAsia="Calibri" w:hAnsi="Arial" w:cs="Arial"/>
          <w:b/>
          <w:noProof/>
          <w:sz w:val="28"/>
          <w:szCs w:val="28"/>
          <w:lang w:val="es-ES" w:eastAsia="es-ES"/>
        </w:rPr>
        <w:drawing>
          <wp:anchor distT="0" distB="0" distL="114300" distR="114300" simplePos="0" relativeHeight="251661312" behindDoc="1" locked="0" layoutInCell="1" allowOverlap="1" wp14:anchorId="37AF7276" wp14:editId="43C1FDCA">
            <wp:simplePos x="0" y="0"/>
            <wp:positionH relativeFrom="margin">
              <wp:align>left</wp:align>
            </wp:positionH>
            <wp:positionV relativeFrom="paragraph">
              <wp:posOffset>127635</wp:posOffset>
            </wp:positionV>
            <wp:extent cx="1327150" cy="871855"/>
            <wp:effectExtent l="0" t="0" r="6350" b="4445"/>
            <wp:wrapTight wrapText="bothSides">
              <wp:wrapPolygon edited="0">
                <wp:start x="0" y="0"/>
                <wp:lineTo x="0" y="21238"/>
                <wp:lineTo x="21393" y="21238"/>
                <wp:lineTo x="21393" y="0"/>
                <wp:lineTo x="0" y="0"/>
              </wp:wrapPolygon>
            </wp:wrapTight>
            <wp:docPr id="1505033639" name="Imagen 1" descr="Vista de calle con edificios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033639" name="Imagen 1" descr="Vista de calle con edificios de fondo&#10;&#10;El contenido generado por IA puede ser incorrecto."/>
                    <pic:cNvPicPr/>
                  </pic:nvPicPr>
                  <pic:blipFill>
                    <a:blip r:embed="rId10">
                      <a:extLst>
                        <a:ext uri="{28A0092B-C50C-407E-A947-70E740481C1C}">
                          <a14:useLocalDpi xmlns:a14="http://schemas.microsoft.com/office/drawing/2010/main" val="0"/>
                        </a:ext>
                      </a:extLst>
                    </a:blip>
                    <a:stretch>
                      <a:fillRect/>
                    </a:stretch>
                  </pic:blipFill>
                  <pic:spPr>
                    <a:xfrm>
                      <a:off x="0" y="0"/>
                      <a:ext cx="1327150" cy="871855"/>
                    </a:xfrm>
                    <a:prstGeom prst="rect">
                      <a:avLst/>
                    </a:prstGeom>
                  </pic:spPr>
                </pic:pic>
              </a:graphicData>
            </a:graphic>
            <wp14:sizeRelH relativeFrom="margin">
              <wp14:pctWidth>0</wp14:pctWidth>
            </wp14:sizeRelH>
            <wp14:sizeRelV relativeFrom="margin">
              <wp14:pctHeight>0</wp14:pctHeight>
            </wp14:sizeRelV>
          </wp:anchor>
        </w:drawing>
      </w:r>
    </w:p>
    <w:p w14:paraId="4DEE8419" w14:textId="0036B4BF" w:rsidR="00593321" w:rsidRPr="00C45796" w:rsidRDefault="00E81655" w:rsidP="00C45796">
      <w:pPr>
        <w:spacing w:after="0" w:line="240" w:lineRule="auto"/>
        <w:jc w:val="both"/>
        <w:rPr>
          <w:rFonts w:ascii="Arial" w:eastAsia="Arial" w:hAnsi="Arial" w:cs="Arial"/>
          <w:b/>
          <w:bCs/>
          <w:kern w:val="0"/>
          <w:lang w:val="es-419" w:eastAsia="es-AR"/>
          <w14:ligatures w14:val="none"/>
        </w:rPr>
      </w:pPr>
      <w:r w:rsidRPr="00E81655">
        <w:rPr>
          <w:rFonts w:ascii="Arial" w:eastAsia="Arial" w:hAnsi="Arial" w:cs="Arial"/>
          <w:b/>
          <w:bCs/>
          <w:kern w:val="0"/>
          <w:lang w:val="es-419" w:eastAsia="es-AR"/>
          <w14:ligatures w14:val="none"/>
        </w:rPr>
        <w:t>Desde la Cámara de Comercio local destacaron el gran impacto económico de la Fiesta Nacional de la Ganadería y ya proyectan la edición 2027.</w:t>
      </w:r>
    </w:p>
    <w:p w14:paraId="2270B2E1" w14:textId="77777777" w:rsidR="00E81655" w:rsidRDefault="00E81655" w:rsidP="00E81655">
      <w:pPr>
        <w:spacing w:after="0" w:line="276" w:lineRule="auto"/>
        <w:jc w:val="both"/>
        <w:rPr>
          <w:rFonts w:ascii="Arial" w:eastAsia="Arial" w:hAnsi="Arial" w:cs="Arial"/>
          <w:kern w:val="0"/>
          <w:sz w:val="24"/>
          <w:szCs w:val="24"/>
          <w:lang w:val="es-419" w:eastAsia="es-AR"/>
          <w14:ligatures w14:val="none"/>
        </w:rPr>
      </w:pPr>
    </w:p>
    <w:p w14:paraId="7E833906" w14:textId="74CE1E63" w:rsidR="00E81655" w:rsidRPr="00E81655" w:rsidRDefault="00E81655" w:rsidP="00E81655">
      <w:pPr>
        <w:spacing w:after="0" w:line="276" w:lineRule="auto"/>
        <w:jc w:val="both"/>
        <w:rPr>
          <w:rFonts w:ascii="Arial" w:eastAsia="Arial" w:hAnsi="Arial" w:cs="Arial"/>
          <w:kern w:val="0"/>
          <w:sz w:val="24"/>
          <w:szCs w:val="24"/>
          <w:lang w:val="es-419" w:eastAsia="es-AR"/>
          <w14:ligatures w14:val="none"/>
        </w:rPr>
      </w:pPr>
      <w:r w:rsidRPr="00E81655">
        <w:rPr>
          <w:rFonts w:ascii="Arial" w:eastAsia="Arial" w:hAnsi="Arial" w:cs="Arial"/>
          <w:kern w:val="0"/>
          <w:sz w:val="24"/>
          <w:szCs w:val="24"/>
          <w:lang w:val="es-419" w:eastAsia="es-AR"/>
          <w14:ligatures w14:val="none"/>
        </w:rPr>
        <w:t xml:space="preserve">La Fiesta Nacional de la Ganadería dejó un balance económico muy positivo para General Alvear, impulsando el movimiento comercial, turístico y gastronómico de la región. Durante el evento se registró una importante circulación de visitantes, lo que generó mayor actividad en hoteles, restaurantes, comercios y servicios locales. Desde el sector comercial destacaron que este tipo de eventos fortalece la economía regional, promueve el consumo y posiciona a General Alvear como un centro estratégico para actividades productivas y turísticas del sur mendocino. </w:t>
      </w:r>
    </w:p>
    <w:p w14:paraId="77AB4192" w14:textId="77777777" w:rsidR="000D67D2" w:rsidRDefault="000D67D2" w:rsidP="00894525">
      <w:pPr>
        <w:spacing w:line="240" w:lineRule="auto"/>
        <w:jc w:val="both"/>
        <w:rPr>
          <w:rFonts w:ascii="Times New Roman" w:eastAsia="Calibri" w:hAnsi="Times New Roman" w:cs="Times New Roman"/>
          <w:color w:val="1F4E79"/>
          <w:sz w:val="36"/>
          <w:szCs w:val="36"/>
        </w:rPr>
      </w:pPr>
    </w:p>
    <w:p w14:paraId="621B2C9F" w14:textId="53622827" w:rsidR="00894525" w:rsidRPr="00894525" w:rsidRDefault="00894525" w:rsidP="00894525">
      <w:pPr>
        <w:spacing w:line="240" w:lineRule="auto"/>
        <w:jc w:val="both"/>
        <w:rPr>
          <w:rFonts w:ascii="Times New Roman" w:eastAsia="Calibri" w:hAnsi="Times New Roman" w:cs="Times New Roman"/>
          <w:color w:val="1F4E79"/>
          <w:sz w:val="36"/>
          <w:szCs w:val="36"/>
        </w:rPr>
      </w:pPr>
      <w:r w:rsidRPr="00894525">
        <w:rPr>
          <w:rFonts w:ascii="Times New Roman" w:eastAsia="Calibri" w:hAnsi="Times New Roman" w:cs="Times New Roman"/>
          <w:color w:val="1F4E79"/>
          <w:sz w:val="36"/>
          <w:szCs w:val="36"/>
        </w:rPr>
        <w:t xml:space="preserve">El presente informe es: </w:t>
      </w:r>
    </w:p>
    <w:p w14:paraId="478BB5BD" w14:textId="77777777" w:rsidR="00894525" w:rsidRPr="00894525" w:rsidRDefault="00894525" w:rsidP="00894525">
      <w:pPr>
        <w:numPr>
          <w:ilvl w:val="0"/>
          <w:numId w:val="1"/>
        </w:numPr>
        <w:spacing w:line="240" w:lineRule="auto"/>
        <w:contextualSpacing/>
        <w:jc w:val="both"/>
        <w:rPr>
          <w:rFonts w:ascii="Times New Roman" w:eastAsia="Calibri" w:hAnsi="Times New Roman" w:cs="Times New Roman"/>
          <w:sz w:val="24"/>
        </w:rPr>
      </w:pPr>
      <w:r w:rsidRPr="00894525">
        <w:rPr>
          <w:rFonts w:ascii="Times New Roman" w:eastAsia="Calibri" w:hAnsi="Times New Roman" w:cs="Times New Roman"/>
          <w:sz w:val="24"/>
        </w:rPr>
        <w:t>Realizado por: Gil Lusmila, Martínez Florencia y Diaz Ivan.</w:t>
      </w:r>
    </w:p>
    <w:p w14:paraId="55C7F5AA" w14:textId="0F1990F7" w:rsidR="00894525" w:rsidRPr="00894525" w:rsidRDefault="00894525" w:rsidP="00894525">
      <w:pPr>
        <w:numPr>
          <w:ilvl w:val="0"/>
          <w:numId w:val="1"/>
        </w:numPr>
        <w:spacing w:line="240" w:lineRule="auto"/>
        <w:contextualSpacing/>
        <w:jc w:val="both"/>
        <w:rPr>
          <w:rFonts w:ascii="Times New Roman" w:eastAsia="Calibri" w:hAnsi="Times New Roman" w:cs="Times New Roman"/>
          <w:sz w:val="24"/>
        </w:rPr>
      </w:pPr>
      <w:r w:rsidRPr="00894525">
        <w:rPr>
          <w:rFonts w:ascii="Times New Roman" w:eastAsia="Calibri" w:hAnsi="Times New Roman" w:cs="Times New Roman"/>
          <w:sz w:val="24"/>
        </w:rPr>
        <w:t>Supervisado por: L</w:t>
      </w:r>
      <w:r w:rsidR="00822E3D">
        <w:rPr>
          <w:rFonts w:ascii="Times New Roman" w:eastAsia="Calibri" w:hAnsi="Times New Roman" w:cs="Times New Roman"/>
          <w:sz w:val="24"/>
        </w:rPr>
        <w:t>ic</w:t>
      </w:r>
      <w:r w:rsidRPr="00894525">
        <w:rPr>
          <w:rFonts w:ascii="Times New Roman" w:eastAsia="Calibri" w:hAnsi="Times New Roman" w:cs="Times New Roman"/>
          <w:sz w:val="24"/>
        </w:rPr>
        <w:t>. Walker Iv</w:t>
      </w:r>
      <w:r w:rsidR="00822E3D">
        <w:rPr>
          <w:rFonts w:ascii="Times New Roman" w:eastAsia="Calibri" w:hAnsi="Times New Roman" w:cs="Times New Roman"/>
          <w:sz w:val="24"/>
        </w:rPr>
        <w:t>á</w:t>
      </w:r>
      <w:r w:rsidRPr="00894525">
        <w:rPr>
          <w:rFonts w:ascii="Times New Roman" w:eastAsia="Calibri" w:hAnsi="Times New Roman" w:cs="Times New Roman"/>
          <w:sz w:val="24"/>
        </w:rPr>
        <w:t>n.</w:t>
      </w:r>
    </w:p>
    <w:p w14:paraId="0484E716" w14:textId="77777777" w:rsidR="00894525" w:rsidRPr="00894525" w:rsidRDefault="00894525">
      <w:pPr>
        <w:rPr>
          <w:lang w:val="es-ES"/>
        </w:rPr>
      </w:pPr>
    </w:p>
    <w:sectPr w:rsidR="00894525" w:rsidRPr="00894525" w:rsidSect="00894525">
      <w:headerReference w:type="default" r:id="rId11"/>
      <w:headerReference w:type="first" r:id="rId1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7D672" w14:textId="77777777" w:rsidR="008F79B6" w:rsidRDefault="008F79B6" w:rsidP="00894525">
      <w:pPr>
        <w:spacing w:after="0" w:line="240" w:lineRule="auto"/>
      </w:pPr>
      <w:r>
        <w:separator/>
      </w:r>
    </w:p>
  </w:endnote>
  <w:endnote w:type="continuationSeparator" w:id="0">
    <w:p w14:paraId="59E13EC9" w14:textId="77777777" w:rsidR="008F79B6" w:rsidRDefault="008F79B6" w:rsidP="00894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onsolas"/>
    <w:charset w:val="00"/>
    <w:family w:val="swiss"/>
    <w:pitch w:val="variable"/>
    <w:sig w:usb0="00000001" w:usb1="00000003" w:usb2="00000000" w:usb3="00000000" w:csb0="0000019F" w:csb1="00000000"/>
  </w:font>
  <w:font w:name="Aptos Display">
    <w:altName w:val="Consolas"/>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2FCCE" w14:textId="77777777" w:rsidR="008F79B6" w:rsidRDefault="008F79B6" w:rsidP="00894525">
      <w:pPr>
        <w:spacing w:after="0" w:line="240" w:lineRule="auto"/>
      </w:pPr>
      <w:r>
        <w:separator/>
      </w:r>
    </w:p>
  </w:footnote>
  <w:footnote w:type="continuationSeparator" w:id="0">
    <w:p w14:paraId="69C0DE3B" w14:textId="77777777" w:rsidR="008F79B6" w:rsidRDefault="008F79B6" w:rsidP="00894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923"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775"/>
    </w:tblGrid>
    <w:tr w:rsidR="00894525" w14:paraId="0FD91FE9" w14:textId="77777777" w:rsidTr="000D67D2">
      <w:tc>
        <w:tcPr>
          <w:tcW w:w="5148" w:type="dxa"/>
        </w:tcPr>
        <w:p w14:paraId="369EB26C" w14:textId="77777777" w:rsidR="00894525" w:rsidRPr="00B974D3" w:rsidRDefault="00894525" w:rsidP="00894525">
          <w:pPr>
            <w:pStyle w:val="Encabezado"/>
            <w:rPr>
              <w:rFonts w:ascii="Times New Roman" w:hAnsi="Times New Roman" w:cs="Times New Roman"/>
              <w:sz w:val="23"/>
              <w:szCs w:val="23"/>
            </w:rPr>
          </w:pPr>
          <w:r>
            <w:fldChar w:fldCharType="begin"/>
          </w:r>
          <w:r>
            <w:instrText>HYPERLINK "mailto:informesemanaleconomico@itu.uncu.edu.ar"</w:instrText>
          </w:r>
          <w:r>
            <w:fldChar w:fldCharType="separate"/>
          </w:r>
          <w:r w:rsidRPr="00B974D3">
            <w:rPr>
              <w:rStyle w:val="Hipervnculo"/>
              <w:rFonts w:ascii="Times New Roman" w:hAnsi="Times New Roman" w:cs="Times New Roman"/>
              <w:sz w:val="23"/>
              <w:szCs w:val="23"/>
            </w:rPr>
            <w:t>informesemanaleconomico@itu.uncu.edu.ar</w:t>
          </w:r>
          <w:r>
            <w:fldChar w:fldCharType="end"/>
          </w:r>
        </w:p>
        <w:p w14:paraId="012F9BB3" w14:textId="77777777" w:rsidR="00894525" w:rsidRDefault="00894525" w:rsidP="00894525">
          <w:pPr>
            <w:pStyle w:val="Encabezado"/>
          </w:pPr>
        </w:p>
      </w:tc>
      <w:tc>
        <w:tcPr>
          <w:tcW w:w="4775" w:type="dxa"/>
        </w:tcPr>
        <w:p w14:paraId="1A74D9ED" w14:textId="510CAC74" w:rsidR="00894525" w:rsidRPr="00B974D3" w:rsidRDefault="00E81655" w:rsidP="00894525">
          <w:pPr>
            <w:pStyle w:val="Encabezado"/>
            <w:jc w:val="right"/>
            <w:rPr>
              <w:rFonts w:ascii="Times New Roman" w:hAnsi="Times New Roman" w:cs="Times New Roman"/>
              <w:sz w:val="23"/>
              <w:szCs w:val="23"/>
            </w:rPr>
          </w:pPr>
          <w:r>
            <w:rPr>
              <w:rFonts w:ascii="Times New Roman" w:hAnsi="Times New Roman" w:cs="Times New Roman"/>
              <w:sz w:val="23"/>
              <w:szCs w:val="23"/>
            </w:rPr>
            <w:t>18</w:t>
          </w:r>
          <w:r w:rsidR="00894525" w:rsidRPr="00B974D3">
            <w:rPr>
              <w:rFonts w:ascii="Times New Roman" w:hAnsi="Times New Roman" w:cs="Times New Roman"/>
              <w:sz w:val="23"/>
              <w:szCs w:val="23"/>
            </w:rPr>
            <w:t>/</w:t>
          </w:r>
          <w:r w:rsidR="004D336F">
            <w:rPr>
              <w:rFonts w:ascii="Times New Roman" w:hAnsi="Times New Roman" w:cs="Times New Roman"/>
              <w:sz w:val="23"/>
              <w:szCs w:val="23"/>
            </w:rPr>
            <w:t>0</w:t>
          </w:r>
          <w:r>
            <w:rPr>
              <w:rFonts w:ascii="Times New Roman" w:hAnsi="Times New Roman" w:cs="Times New Roman"/>
              <w:sz w:val="23"/>
              <w:szCs w:val="23"/>
            </w:rPr>
            <w:t>5</w:t>
          </w:r>
          <w:r w:rsidR="00894525" w:rsidRPr="00B974D3">
            <w:rPr>
              <w:rFonts w:ascii="Times New Roman" w:hAnsi="Times New Roman" w:cs="Times New Roman"/>
              <w:sz w:val="23"/>
              <w:szCs w:val="23"/>
            </w:rPr>
            <w:t>/202</w:t>
          </w:r>
          <w:r>
            <w:rPr>
              <w:rFonts w:ascii="Times New Roman" w:hAnsi="Times New Roman" w:cs="Times New Roman"/>
              <w:sz w:val="23"/>
              <w:szCs w:val="23"/>
            </w:rPr>
            <w:t>6</w:t>
          </w:r>
          <w:r w:rsidR="00894525" w:rsidRPr="00B974D3">
            <w:rPr>
              <w:rFonts w:ascii="Times New Roman" w:hAnsi="Times New Roman" w:cs="Times New Roman"/>
              <w:sz w:val="23"/>
              <w:szCs w:val="23"/>
            </w:rPr>
            <w:t xml:space="preserve"> al </w:t>
          </w:r>
          <w:r>
            <w:rPr>
              <w:rFonts w:ascii="Times New Roman" w:hAnsi="Times New Roman" w:cs="Times New Roman"/>
              <w:sz w:val="23"/>
              <w:szCs w:val="23"/>
            </w:rPr>
            <w:t>22</w:t>
          </w:r>
          <w:r w:rsidR="00894525" w:rsidRPr="00B974D3">
            <w:rPr>
              <w:rFonts w:ascii="Times New Roman" w:hAnsi="Times New Roman" w:cs="Times New Roman"/>
              <w:sz w:val="23"/>
              <w:szCs w:val="23"/>
            </w:rPr>
            <w:t>/</w:t>
          </w:r>
          <w:r w:rsidR="00AF261E">
            <w:rPr>
              <w:rFonts w:ascii="Times New Roman" w:hAnsi="Times New Roman" w:cs="Times New Roman"/>
              <w:sz w:val="23"/>
              <w:szCs w:val="23"/>
            </w:rPr>
            <w:t>0</w:t>
          </w:r>
          <w:r>
            <w:rPr>
              <w:rFonts w:ascii="Times New Roman" w:hAnsi="Times New Roman" w:cs="Times New Roman"/>
              <w:sz w:val="23"/>
              <w:szCs w:val="23"/>
            </w:rPr>
            <w:t>5</w:t>
          </w:r>
          <w:r w:rsidR="00894525" w:rsidRPr="00B974D3">
            <w:rPr>
              <w:rFonts w:ascii="Times New Roman" w:hAnsi="Times New Roman" w:cs="Times New Roman"/>
              <w:sz w:val="23"/>
              <w:szCs w:val="23"/>
            </w:rPr>
            <w:t>/202</w:t>
          </w:r>
          <w:r w:rsidR="00AF261E">
            <w:rPr>
              <w:rFonts w:ascii="Times New Roman" w:hAnsi="Times New Roman" w:cs="Times New Roman"/>
              <w:sz w:val="23"/>
              <w:szCs w:val="23"/>
            </w:rPr>
            <w:t>6</w:t>
          </w:r>
        </w:p>
      </w:tc>
    </w:tr>
    <w:tr w:rsidR="00894525" w14:paraId="70D1DC12" w14:textId="77777777" w:rsidTr="000D67D2">
      <w:tc>
        <w:tcPr>
          <w:tcW w:w="5148" w:type="dxa"/>
        </w:tcPr>
        <w:p w14:paraId="6AE4E73B" w14:textId="603811ED" w:rsidR="00894525" w:rsidRPr="00B974D3" w:rsidRDefault="00894525" w:rsidP="00894525">
          <w:pPr>
            <w:pStyle w:val="Encabezado"/>
            <w:rPr>
              <w:rFonts w:ascii="Times New Roman" w:hAnsi="Times New Roman" w:cs="Times New Roman"/>
              <w:sz w:val="23"/>
              <w:szCs w:val="23"/>
            </w:rPr>
          </w:pPr>
        </w:p>
      </w:tc>
      <w:tc>
        <w:tcPr>
          <w:tcW w:w="4775" w:type="dxa"/>
        </w:tcPr>
        <w:p w14:paraId="6A87A500" w14:textId="5CAC7CAE" w:rsidR="00894525" w:rsidRDefault="00894525" w:rsidP="00894525">
          <w:pPr>
            <w:pStyle w:val="Encabezado"/>
            <w:jc w:val="right"/>
          </w:pPr>
        </w:p>
      </w:tc>
    </w:tr>
  </w:tbl>
  <w:p w14:paraId="72234F6A" w14:textId="77777777" w:rsidR="00894525" w:rsidRDefault="0089452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923"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775"/>
    </w:tblGrid>
    <w:tr w:rsidR="00894525" w:rsidRPr="00B974D3" w14:paraId="337DFF70" w14:textId="77777777" w:rsidTr="000D67D2">
      <w:tc>
        <w:tcPr>
          <w:tcW w:w="5148" w:type="dxa"/>
        </w:tcPr>
        <w:p w14:paraId="007B866A" w14:textId="77777777" w:rsidR="00894525" w:rsidRPr="00B974D3" w:rsidRDefault="008F79B6" w:rsidP="00894525">
          <w:pPr>
            <w:pStyle w:val="Encabezado"/>
            <w:rPr>
              <w:rFonts w:ascii="Times New Roman" w:hAnsi="Times New Roman" w:cs="Times New Roman"/>
              <w:sz w:val="23"/>
              <w:szCs w:val="23"/>
            </w:rPr>
          </w:pPr>
          <w:hyperlink r:id="rId1" w:history="1">
            <w:r w:rsidR="00894525" w:rsidRPr="00B974D3">
              <w:rPr>
                <w:rStyle w:val="Hipervnculo"/>
                <w:rFonts w:ascii="Times New Roman" w:hAnsi="Times New Roman" w:cs="Times New Roman"/>
                <w:sz w:val="23"/>
                <w:szCs w:val="23"/>
              </w:rPr>
              <w:t>informesemanaleconomico@itu.uncu.edu.ar</w:t>
            </w:r>
          </w:hyperlink>
        </w:p>
        <w:p w14:paraId="1DE03E5E" w14:textId="77777777" w:rsidR="00894525" w:rsidRDefault="00894525" w:rsidP="00894525">
          <w:pPr>
            <w:pStyle w:val="Encabezado"/>
          </w:pPr>
        </w:p>
      </w:tc>
      <w:tc>
        <w:tcPr>
          <w:tcW w:w="4775" w:type="dxa"/>
        </w:tcPr>
        <w:p w14:paraId="3EC555EB" w14:textId="630C533D" w:rsidR="00894525" w:rsidRPr="00B974D3" w:rsidRDefault="00E81655" w:rsidP="00894525">
          <w:pPr>
            <w:pStyle w:val="Encabezado"/>
            <w:jc w:val="right"/>
            <w:rPr>
              <w:rFonts w:ascii="Times New Roman" w:hAnsi="Times New Roman" w:cs="Times New Roman"/>
              <w:sz w:val="23"/>
              <w:szCs w:val="23"/>
            </w:rPr>
          </w:pPr>
          <w:r>
            <w:rPr>
              <w:rFonts w:ascii="Times New Roman" w:hAnsi="Times New Roman" w:cs="Times New Roman"/>
              <w:sz w:val="23"/>
              <w:szCs w:val="23"/>
            </w:rPr>
            <w:t>18</w:t>
          </w:r>
          <w:r w:rsidR="00894525" w:rsidRPr="00B974D3">
            <w:rPr>
              <w:rFonts w:ascii="Times New Roman" w:hAnsi="Times New Roman" w:cs="Times New Roman"/>
              <w:sz w:val="23"/>
              <w:szCs w:val="23"/>
            </w:rPr>
            <w:t>/</w:t>
          </w:r>
          <w:r w:rsidR="0067436C">
            <w:rPr>
              <w:rFonts w:ascii="Times New Roman" w:hAnsi="Times New Roman" w:cs="Times New Roman"/>
              <w:sz w:val="23"/>
              <w:szCs w:val="23"/>
            </w:rPr>
            <w:t>0</w:t>
          </w:r>
          <w:r>
            <w:rPr>
              <w:rFonts w:ascii="Times New Roman" w:hAnsi="Times New Roman" w:cs="Times New Roman"/>
              <w:sz w:val="23"/>
              <w:szCs w:val="23"/>
            </w:rPr>
            <w:t>5</w:t>
          </w:r>
          <w:r w:rsidR="00894525" w:rsidRPr="00B974D3">
            <w:rPr>
              <w:rFonts w:ascii="Times New Roman" w:hAnsi="Times New Roman" w:cs="Times New Roman"/>
              <w:sz w:val="23"/>
              <w:szCs w:val="23"/>
            </w:rPr>
            <w:t>/202</w:t>
          </w:r>
          <w:r w:rsidR="0067436C">
            <w:rPr>
              <w:rFonts w:ascii="Times New Roman" w:hAnsi="Times New Roman" w:cs="Times New Roman"/>
              <w:sz w:val="23"/>
              <w:szCs w:val="23"/>
            </w:rPr>
            <w:t>6</w:t>
          </w:r>
          <w:r w:rsidR="00894525" w:rsidRPr="00B974D3">
            <w:rPr>
              <w:rFonts w:ascii="Times New Roman" w:hAnsi="Times New Roman" w:cs="Times New Roman"/>
              <w:sz w:val="23"/>
              <w:szCs w:val="23"/>
            </w:rPr>
            <w:t xml:space="preserve"> al </w:t>
          </w:r>
          <w:r w:rsidR="00C45796">
            <w:rPr>
              <w:rFonts w:ascii="Times New Roman" w:hAnsi="Times New Roman" w:cs="Times New Roman"/>
              <w:sz w:val="23"/>
              <w:szCs w:val="23"/>
            </w:rPr>
            <w:t>2</w:t>
          </w:r>
          <w:r>
            <w:rPr>
              <w:rFonts w:ascii="Times New Roman" w:hAnsi="Times New Roman" w:cs="Times New Roman"/>
              <w:sz w:val="23"/>
              <w:szCs w:val="23"/>
            </w:rPr>
            <w:t>2</w:t>
          </w:r>
          <w:r w:rsidR="007872AC">
            <w:rPr>
              <w:rFonts w:ascii="Times New Roman" w:hAnsi="Times New Roman" w:cs="Times New Roman"/>
              <w:sz w:val="23"/>
              <w:szCs w:val="23"/>
            </w:rPr>
            <w:t>/</w:t>
          </w:r>
          <w:r w:rsidR="004D336F">
            <w:rPr>
              <w:rFonts w:ascii="Times New Roman" w:hAnsi="Times New Roman" w:cs="Times New Roman"/>
              <w:sz w:val="23"/>
              <w:szCs w:val="23"/>
            </w:rPr>
            <w:t>0</w:t>
          </w:r>
          <w:r>
            <w:rPr>
              <w:rFonts w:ascii="Times New Roman" w:hAnsi="Times New Roman" w:cs="Times New Roman"/>
              <w:sz w:val="23"/>
              <w:szCs w:val="23"/>
            </w:rPr>
            <w:t>5</w:t>
          </w:r>
          <w:r w:rsidR="00894525" w:rsidRPr="00B974D3">
            <w:rPr>
              <w:rFonts w:ascii="Times New Roman" w:hAnsi="Times New Roman" w:cs="Times New Roman"/>
              <w:sz w:val="23"/>
              <w:szCs w:val="23"/>
            </w:rPr>
            <w:t>/202</w:t>
          </w:r>
          <w:r w:rsidR="004D336F">
            <w:rPr>
              <w:rFonts w:ascii="Times New Roman" w:hAnsi="Times New Roman" w:cs="Times New Roman"/>
              <w:sz w:val="23"/>
              <w:szCs w:val="23"/>
            </w:rPr>
            <w:t>6</w:t>
          </w:r>
        </w:p>
      </w:tc>
    </w:tr>
    <w:tr w:rsidR="00894525" w14:paraId="18991B50" w14:textId="77777777" w:rsidTr="000D67D2">
      <w:tc>
        <w:tcPr>
          <w:tcW w:w="5148" w:type="dxa"/>
        </w:tcPr>
        <w:p w14:paraId="03BD2C6E" w14:textId="77777777" w:rsidR="00894525" w:rsidRPr="00B974D3" w:rsidRDefault="00894525" w:rsidP="00894525">
          <w:pPr>
            <w:pStyle w:val="Encabezado"/>
            <w:rPr>
              <w:rFonts w:ascii="Times New Roman" w:hAnsi="Times New Roman" w:cs="Times New Roman"/>
              <w:color w:val="008080"/>
              <w:sz w:val="49"/>
              <w:szCs w:val="49"/>
            </w:rPr>
          </w:pPr>
          <w:r w:rsidRPr="00B974D3">
            <w:rPr>
              <w:rFonts w:ascii="Times New Roman" w:hAnsi="Times New Roman" w:cs="Times New Roman"/>
              <w:color w:val="008080"/>
              <w:sz w:val="49"/>
              <w:szCs w:val="49"/>
            </w:rPr>
            <w:t xml:space="preserve">INFORME </w:t>
          </w:r>
          <w:r>
            <w:rPr>
              <w:rFonts w:ascii="Times New Roman" w:hAnsi="Times New Roman" w:cs="Times New Roman"/>
              <w:color w:val="008080"/>
              <w:sz w:val="49"/>
              <w:szCs w:val="49"/>
            </w:rPr>
            <w:t xml:space="preserve">ECONÓMICO </w:t>
          </w:r>
          <w:r w:rsidRPr="00B974D3">
            <w:rPr>
              <w:rFonts w:ascii="Times New Roman" w:hAnsi="Times New Roman" w:cs="Times New Roman"/>
              <w:color w:val="008080"/>
              <w:sz w:val="49"/>
              <w:szCs w:val="49"/>
            </w:rPr>
            <w:t>SEMANAL</w:t>
          </w:r>
        </w:p>
        <w:p w14:paraId="0B5E290B" w14:textId="77777777" w:rsidR="00894525" w:rsidRPr="00B974D3" w:rsidRDefault="00894525" w:rsidP="00894525">
          <w:pPr>
            <w:pStyle w:val="Encabezado"/>
            <w:rPr>
              <w:rFonts w:ascii="Times New Roman" w:hAnsi="Times New Roman" w:cs="Times New Roman"/>
              <w:sz w:val="23"/>
              <w:szCs w:val="23"/>
            </w:rPr>
          </w:pPr>
          <w:r w:rsidRPr="00B974D3">
            <w:rPr>
              <w:rFonts w:ascii="Times New Roman" w:hAnsi="Times New Roman" w:cs="Times New Roman"/>
              <w:sz w:val="23"/>
              <w:szCs w:val="23"/>
            </w:rPr>
            <w:t>ITU</w:t>
          </w:r>
          <w:r>
            <w:rPr>
              <w:rFonts w:ascii="Times New Roman" w:hAnsi="Times New Roman" w:cs="Times New Roman"/>
              <w:sz w:val="23"/>
              <w:szCs w:val="23"/>
            </w:rPr>
            <w:t xml:space="preserve"> </w:t>
          </w:r>
          <w:r w:rsidRPr="00B974D3">
            <w:rPr>
              <w:rFonts w:ascii="Times New Roman" w:hAnsi="Times New Roman" w:cs="Times New Roman"/>
              <w:sz w:val="23"/>
              <w:szCs w:val="23"/>
            </w:rPr>
            <w:t>|</w:t>
          </w:r>
          <w:proofErr w:type="spellStart"/>
          <w:r w:rsidRPr="00B974D3">
            <w:rPr>
              <w:rFonts w:ascii="Times New Roman" w:hAnsi="Times New Roman" w:cs="Times New Roman"/>
              <w:sz w:val="23"/>
              <w:szCs w:val="23"/>
            </w:rPr>
            <w:t>Chapeaurouge</w:t>
          </w:r>
          <w:proofErr w:type="spellEnd"/>
          <w:r w:rsidRPr="00B974D3">
            <w:rPr>
              <w:rFonts w:ascii="Times New Roman" w:hAnsi="Times New Roman" w:cs="Times New Roman"/>
              <w:sz w:val="23"/>
              <w:szCs w:val="23"/>
            </w:rPr>
            <w:t xml:space="preserve"> 163|</w:t>
          </w:r>
          <w:r>
            <w:rPr>
              <w:rFonts w:ascii="Times New Roman" w:hAnsi="Times New Roman" w:cs="Times New Roman"/>
              <w:sz w:val="23"/>
              <w:szCs w:val="23"/>
            </w:rPr>
            <w:t xml:space="preserve"> </w:t>
          </w:r>
          <w:r w:rsidRPr="00B974D3">
            <w:rPr>
              <w:rFonts w:ascii="Times New Roman" w:hAnsi="Times New Roman" w:cs="Times New Roman"/>
              <w:sz w:val="23"/>
              <w:szCs w:val="23"/>
            </w:rPr>
            <w:t>General Alvear</w:t>
          </w:r>
        </w:p>
      </w:tc>
      <w:tc>
        <w:tcPr>
          <w:tcW w:w="4775" w:type="dxa"/>
        </w:tcPr>
        <w:p w14:paraId="36593D80" w14:textId="22AC9FFC" w:rsidR="00894525" w:rsidRDefault="003A7F2F" w:rsidP="00894525">
          <w:pPr>
            <w:pStyle w:val="Encabezado"/>
            <w:jc w:val="right"/>
          </w:pPr>
          <w:r>
            <w:rPr>
              <w:noProof/>
              <w:lang w:val="es-ES" w:eastAsia="es-ES"/>
            </w:rPr>
            <w:drawing>
              <wp:inline distT="0" distB="0" distL="0" distR="0" wp14:anchorId="49374AD7" wp14:editId="3F52E67D">
                <wp:extent cx="2186932" cy="1236842"/>
                <wp:effectExtent l="0" t="0" r="4445" b="1905"/>
                <wp:docPr id="14957088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7243" cy="1242673"/>
                        </a:xfrm>
                        <a:prstGeom prst="rect">
                          <a:avLst/>
                        </a:prstGeom>
                        <a:noFill/>
                      </pic:spPr>
                    </pic:pic>
                  </a:graphicData>
                </a:graphic>
              </wp:inline>
            </w:drawing>
          </w:r>
        </w:p>
      </w:tc>
    </w:tr>
  </w:tbl>
  <w:p w14:paraId="7E3E77A2" w14:textId="77777777" w:rsidR="00894525" w:rsidRDefault="0089452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016"/>
    <w:multiLevelType w:val="multilevel"/>
    <w:tmpl w:val="0C9C2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4F5BCA"/>
    <w:multiLevelType w:val="multilevel"/>
    <w:tmpl w:val="202C7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0256A6"/>
    <w:multiLevelType w:val="hybridMultilevel"/>
    <w:tmpl w:val="31FE2A86"/>
    <w:lvl w:ilvl="0" w:tplc="2C0A0001">
      <w:start w:val="1"/>
      <w:numFmt w:val="bullet"/>
      <w:lvlText w:val=""/>
      <w:lvlJc w:val="left"/>
      <w:pPr>
        <w:ind w:left="1077" w:hanging="360"/>
      </w:pPr>
      <w:rPr>
        <w:rFonts w:ascii="Symbol" w:hAnsi="Symbol" w:hint="default"/>
      </w:rPr>
    </w:lvl>
    <w:lvl w:ilvl="1" w:tplc="2C0A0003" w:tentative="1">
      <w:start w:val="1"/>
      <w:numFmt w:val="bullet"/>
      <w:lvlText w:val="o"/>
      <w:lvlJc w:val="left"/>
      <w:pPr>
        <w:ind w:left="1797" w:hanging="360"/>
      </w:pPr>
      <w:rPr>
        <w:rFonts w:ascii="Courier New" w:hAnsi="Courier New" w:cs="Courier New"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3" w15:restartNumberingAfterBreak="0">
    <w:nsid w:val="38B65667"/>
    <w:multiLevelType w:val="hybridMultilevel"/>
    <w:tmpl w:val="52BC58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9CF0BA7"/>
    <w:multiLevelType w:val="multilevel"/>
    <w:tmpl w:val="7F846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581FD4"/>
    <w:multiLevelType w:val="multilevel"/>
    <w:tmpl w:val="A22A8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3547330"/>
    <w:multiLevelType w:val="hybridMultilevel"/>
    <w:tmpl w:val="7262B9D4"/>
    <w:lvl w:ilvl="0" w:tplc="2C0A0001">
      <w:start w:val="1"/>
      <w:numFmt w:val="bullet"/>
      <w:lvlText w:val=""/>
      <w:lvlJc w:val="left"/>
      <w:pPr>
        <w:ind w:left="1437" w:hanging="360"/>
      </w:pPr>
      <w:rPr>
        <w:rFonts w:ascii="Symbol" w:hAnsi="Symbol" w:hint="default"/>
      </w:rPr>
    </w:lvl>
    <w:lvl w:ilvl="1" w:tplc="2C0A0003" w:tentative="1">
      <w:start w:val="1"/>
      <w:numFmt w:val="bullet"/>
      <w:lvlText w:val="o"/>
      <w:lvlJc w:val="left"/>
      <w:pPr>
        <w:ind w:left="2157" w:hanging="360"/>
      </w:pPr>
      <w:rPr>
        <w:rFonts w:ascii="Courier New" w:hAnsi="Courier New" w:cs="Courier New" w:hint="default"/>
      </w:rPr>
    </w:lvl>
    <w:lvl w:ilvl="2" w:tplc="2C0A0005" w:tentative="1">
      <w:start w:val="1"/>
      <w:numFmt w:val="bullet"/>
      <w:lvlText w:val=""/>
      <w:lvlJc w:val="left"/>
      <w:pPr>
        <w:ind w:left="2877" w:hanging="360"/>
      </w:pPr>
      <w:rPr>
        <w:rFonts w:ascii="Wingdings" w:hAnsi="Wingdings" w:hint="default"/>
      </w:rPr>
    </w:lvl>
    <w:lvl w:ilvl="3" w:tplc="2C0A0001" w:tentative="1">
      <w:start w:val="1"/>
      <w:numFmt w:val="bullet"/>
      <w:lvlText w:val=""/>
      <w:lvlJc w:val="left"/>
      <w:pPr>
        <w:ind w:left="3597" w:hanging="360"/>
      </w:pPr>
      <w:rPr>
        <w:rFonts w:ascii="Symbol" w:hAnsi="Symbol" w:hint="default"/>
      </w:rPr>
    </w:lvl>
    <w:lvl w:ilvl="4" w:tplc="2C0A0003" w:tentative="1">
      <w:start w:val="1"/>
      <w:numFmt w:val="bullet"/>
      <w:lvlText w:val="o"/>
      <w:lvlJc w:val="left"/>
      <w:pPr>
        <w:ind w:left="4317" w:hanging="360"/>
      </w:pPr>
      <w:rPr>
        <w:rFonts w:ascii="Courier New" w:hAnsi="Courier New" w:cs="Courier New" w:hint="default"/>
      </w:rPr>
    </w:lvl>
    <w:lvl w:ilvl="5" w:tplc="2C0A0005" w:tentative="1">
      <w:start w:val="1"/>
      <w:numFmt w:val="bullet"/>
      <w:lvlText w:val=""/>
      <w:lvlJc w:val="left"/>
      <w:pPr>
        <w:ind w:left="5037" w:hanging="360"/>
      </w:pPr>
      <w:rPr>
        <w:rFonts w:ascii="Wingdings" w:hAnsi="Wingdings" w:hint="default"/>
      </w:rPr>
    </w:lvl>
    <w:lvl w:ilvl="6" w:tplc="2C0A0001" w:tentative="1">
      <w:start w:val="1"/>
      <w:numFmt w:val="bullet"/>
      <w:lvlText w:val=""/>
      <w:lvlJc w:val="left"/>
      <w:pPr>
        <w:ind w:left="5757" w:hanging="360"/>
      </w:pPr>
      <w:rPr>
        <w:rFonts w:ascii="Symbol" w:hAnsi="Symbol" w:hint="default"/>
      </w:rPr>
    </w:lvl>
    <w:lvl w:ilvl="7" w:tplc="2C0A0003" w:tentative="1">
      <w:start w:val="1"/>
      <w:numFmt w:val="bullet"/>
      <w:lvlText w:val="o"/>
      <w:lvlJc w:val="left"/>
      <w:pPr>
        <w:ind w:left="6477" w:hanging="360"/>
      </w:pPr>
      <w:rPr>
        <w:rFonts w:ascii="Courier New" w:hAnsi="Courier New" w:cs="Courier New" w:hint="default"/>
      </w:rPr>
    </w:lvl>
    <w:lvl w:ilvl="8" w:tplc="2C0A0005" w:tentative="1">
      <w:start w:val="1"/>
      <w:numFmt w:val="bullet"/>
      <w:lvlText w:val=""/>
      <w:lvlJc w:val="left"/>
      <w:pPr>
        <w:ind w:left="7197" w:hanging="360"/>
      </w:pPr>
      <w:rPr>
        <w:rFonts w:ascii="Wingdings" w:hAnsi="Wingdings" w:hint="default"/>
      </w:rPr>
    </w:lvl>
  </w:abstractNum>
  <w:abstractNum w:abstractNumId="7" w15:restartNumberingAfterBreak="0">
    <w:nsid w:val="56B81A2E"/>
    <w:multiLevelType w:val="hybridMultilevel"/>
    <w:tmpl w:val="FF0C1C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8C5421E"/>
    <w:multiLevelType w:val="hybridMultilevel"/>
    <w:tmpl w:val="728251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1252321"/>
    <w:multiLevelType w:val="hybridMultilevel"/>
    <w:tmpl w:val="B07026C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0" w15:restartNumberingAfterBreak="0">
    <w:nsid w:val="68FB3AFA"/>
    <w:multiLevelType w:val="hybridMultilevel"/>
    <w:tmpl w:val="71BCB3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76C3E4E"/>
    <w:multiLevelType w:val="hybridMultilevel"/>
    <w:tmpl w:val="51405A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9"/>
  </w:num>
  <w:num w:numId="4">
    <w:abstractNumId w:val="11"/>
  </w:num>
  <w:num w:numId="5">
    <w:abstractNumId w:val="3"/>
  </w:num>
  <w:num w:numId="6">
    <w:abstractNumId w:val="4"/>
  </w:num>
  <w:num w:numId="7">
    <w:abstractNumId w:val="1"/>
  </w:num>
  <w:num w:numId="8">
    <w:abstractNumId w:val="8"/>
  </w:num>
  <w:num w:numId="9">
    <w:abstractNumId w:val="2"/>
  </w:num>
  <w:num w:numId="10">
    <w:abstractNumId w:val="5"/>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25"/>
    <w:rsid w:val="00032E55"/>
    <w:rsid w:val="000822C7"/>
    <w:rsid w:val="000A4E07"/>
    <w:rsid w:val="000D67D2"/>
    <w:rsid w:val="000F4B03"/>
    <w:rsid w:val="00122978"/>
    <w:rsid w:val="00123C87"/>
    <w:rsid w:val="001D73A7"/>
    <w:rsid w:val="002665AE"/>
    <w:rsid w:val="002863E6"/>
    <w:rsid w:val="002F51C0"/>
    <w:rsid w:val="00316960"/>
    <w:rsid w:val="0034765A"/>
    <w:rsid w:val="003A7F2F"/>
    <w:rsid w:val="003B5A4C"/>
    <w:rsid w:val="003F7C0F"/>
    <w:rsid w:val="00402B2B"/>
    <w:rsid w:val="00427292"/>
    <w:rsid w:val="00443FD4"/>
    <w:rsid w:val="004D336F"/>
    <w:rsid w:val="0056524D"/>
    <w:rsid w:val="00586150"/>
    <w:rsid w:val="00593321"/>
    <w:rsid w:val="00602D0D"/>
    <w:rsid w:val="0062065E"/>
    <w:rsid w:val="0065329C"/>
    <w:rsid w:val="0067436C"/>
    <w:rsid w:val="00750EFB"/>
    <w:rsid w:val="007872AC"/>
    <w:rsid w:val="008108E0"/>
    <w:rsid w:val="00822E3D"/>
    <w:rsid w:val="008679E9"/>
    <w:rsid w:val="00894525"/>
    <w:rsid w:val="008F79B6"/>
    <w:rsid w:val="009C089C"/>
    <w:rsid w:val="009D3575"/>
    <w:rsid w:val="00AB728A"/>
    <w:rsid w:val="00AF0BA6"/>
    <w:rsid w:val="00AF261E"/>
    <w:rsid w:val="00B96650"/>
    <w:rsid w:val="00BC136F"/>
    <w:rsid w:val="00BC6321"/>
    <w:rsid w:val="00BF66B1"/>
    <w:rsid w:val="00C01A33"/>
    <w:rsid w:val="00C241C6"/>
    <w:rsid w:val="00C45796"/>
    <w:rsid w:val="00C5401D"/>
    <w:rsid w:val="00C60150"/>
    <w:rsid w:val="00C6358A"/>
    <w:rsid w:val="00C90403"/>
    <w:rsid w:val="00CA7C10"/>
    <w:rsid w:val="00D379C2"/>
    <w:rsid w:val="00D61AE1"/>
    <w:rsid w:val="00D71BD8"/>
    <w:rsid w:val="00D77E7A"/>
    <w:rsid w:val="00DA09AE"/>
    <w:rsid w:val="00E44A6D"/>
    <w:rsid w:val="00E81655"/>
    <w:rsid w:val="00E861F1"/>
    <w:rsid w:val="00EC63C2"/>
    <w:rsid w:val="00F47A24"/>
    <w:rsid w:val="00F8200B"/>
    <w:rsid w:val="00F970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6898C"/>
  <w15:chartTrackingRefBased/>
  <w15:docId w15:val="{936C8B56-2D6C-4932-B091-AD6AEA86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525"/>
  </w:style>
  <w:style w:type="paragraph" w:styleId="Ttulo1">
    <w:name w:val="heading 1"/>
    <w:basedOn w:val="Normal"/>
    <w:next w:val="Normal"/>
    <w:link w:val="Ttulo1Car"/>
    <w:uiPriority w:val="9"/>
    <w:qFormat/>
    <w:rsid w:val="00894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4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45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45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45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45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45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45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45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45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45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45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45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45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45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45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45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4525"/>
    <w:rPr>
      <w:rFonts w:eastAsiaTheme="majorEastAsia" w:cstheme="majorBidi"/>
      <w:color w:val="272727" w:themeColor="text1" w:themeTint="D8"/>
    </w:rPr>
  </w:style>
  <w:style w:type="paragraph" w:styleId="Ttulo">
    <w:name w:val="Title"/>
    <w:basedOn w:val="Normal"/>
    <w:next w:val="Normal"/>
    <w:link w:val="TtuloCar"/>
    <w:uiPriority w:val="10"/>
    <w:qFormat/>
    <w:rsid w:val="00894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45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45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45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4525"/>
    <w:pPr>
      <w:spacing w:before="160"/>
      <w:jc w:val="center"/>
    </w:pPr>
    <w:rPr>
      <w:i/>
      <w:iCs/>
      <w:color w:val="404040" w:themeColor="text1" w:themeTint="BF"/>
    </w:rPr>
  </w:style>
  <w:style w:type="character" w:customStyle="1" w:styleId="CitaCar">
    <w:name w:val="Cita Car"/>
    <w:basedOn w:val="Fuentedeprrafopredeter"/>
    <w:link w:val="Cita"/>
    <w:uiPriority w:val="29"/>
    <w:rsid w:val="00894525"/>
    <w:rPr>
      <w:i/>
      <w:iCs/>
      <w:color w:val="404040" w:themeColor="text1" w:themeTint="BF"/>
    </w:rPr>
  </w:style>
  <w:style w:type="paragraph" w:styleId="Prrafodelista">
    <w:name w:val="List Paragraph"/>
    <w:basedOn w:val="Normal"/>
    <w:uiPriority w:val="34"/>
    <w:qFormat/>
    <w:rsid w:val="00894525"/>
    <w:pPr>
      <w:ind w:left="720"/>
      <w:contextualSpacing/>
    </w:pPr>
  </w:style>
  <w:style w:type="character" w:styleId="nfasisintenso">
    <w:name w:val="Intense Emphasis"/>
    <w:basedOn w:val="Fuentedeprrafopredeter"/>
    <w:uiPriority w:val="21"/>
    <w:qFormat/>
    <w:rsid w:val="00894525"/>
    <w:rPr>
      <w:i/>
      <w:iCs/>
      <w:color w:val="0F4761" w:themeColor="accent1" w:themeShade="BF"/>
    </w:rPr>
  </w:style>
  <w:style w:type="paragraph" w:styleId="Citadestacada">
    <w:name w:val="Intense Quote"/>
    <w:basedOn w:val="Normal"/>
    <w:next w:val="Normal"/>
    <w:link w:val="CitadestacadaCar"/>
    <w:uiPriority w:val="30"/>
    <w:qFormat/>
    <w:rsid w:val="00894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4525"/>
    <w:rPr>
      <w:i/>
      <w:iCs/>
      <w:color w:val="0F4761" w:themeColor="accent1" w:themeShade="BF"/>
    </w:rPr>
  </w:style>
  <w:style w:type="character" w:styleId="Referenciaintensa">
    <w:name w:val="Intense Reference"/>
    <w:basedOn w:val="Fuentedeprrafopredeter"/>
    <w:uiPriority w:val="32"/>
    <w:qFormat/>
    <w:rsid w:val="00894525"/>
    <w:rPr>
      <w:b/>
      <w:bCs/>
      <w:smallCaps/>
      <w:color w:val="0F4761" w:themeColor="accent1" w:themeShade="BF"/>
      <w:spacing w:val="5"/>
    </w:rPr>
  </w:style>
  <w:style w:type="paragraph" w:styleId="Encabezado">
    <w:name w:val="header"/>
    <w:basedOn w:val="Normal"/>
    <w:link w:val="EncabezadoCar"/>
    <w:uiPriority w:val="99"/>
    <w:unhideWhenUsed/>
    <w:rsid w:val="008945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4525"/>
  </w:style>
  <w:style w:type="paragraph" w:styleId="Piedepgina">
    <w:name w:val="footer"/>
    <w:basedOn w:val="Normal"/>
    <w:link w:val="PiedepginaCar"/>
    <w:uiPriority w:val="99"/>
    <w:unhideWhenUsed/>
    <w:rsid w:val="008945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4525"/>
  </w:style>
  <w:style w:type="character" w:styleId="Hipervnculo">
    <w:name w:val="Hyperlink"/>
    <w:basedOn w:val="Fuentedeprrafopredeter"/>
    <w:uiPriority w:val="99"/>
    <w:unhideWhenUsed/>
    <w:rsid w:val="00894525"/>
    <w:rPr>
      <w:color w:val="467886" w:themeColor="hyperlink"/>
      <w:u w:val="single"/>
    </w:rPr>
  </w:style>
  <w:style w:type="table" w:styleId="Tablaconcuadrcula">
    <w:name w:val="Table Grid"/>
    <w:basedOn w:val="Tablanormal"/>
    <w:uiPriority w:val="39"/>
    <w:rsid w:val="00894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F66B1"/>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mailto:informesemanaleconomico@itu.uncu.edu.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Diaz</dc:creator>
  <cp:keywords/>
  <dc:description/>
  <cp:lastModifiedBy>PERSONAL</cp:lastModifiedBy>
  <cp:revision>2</cp:revision>
  <dcterms:created xsi:type="dcterms:W3CDTF">2026-05-29T13:58:00Z</dcterms:created>
  <dcterms:modified xsi:type="dcterms:W3CDTF">2026-05-29T13:58:00Z</dcterms:modified>
</cp:coreProperties>
</file>